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Healthcare Executive Templates Playbook</w:t>
      </w:r>
    </w:p>
    <w:p>
      <w:r>
        <w:rPr>
          <w:b/>
          <w:color w:val="1E8FC1"/>
          <w:sz w:val="28"/>
        </w:rPr>
        <w:t>Practical governance and management templates for GCC healthcare organisations</w:t>
      </w:r>
    </w:p>
    <w:p>
      <w:r>
        <w:t>Prepared by OzaniX Partners · Executive Knowledge Center · July 2026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AF3F8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b/>
                <w:color w:val="0B1F33"/>
              </w:rPr>
              <w:t>This playbook provides adaptable management structures. It does not replace applicable UAE/GCC laws, regulator requirements, accreditation standards, clinical judgement or organisation-specific policies.</w:t>
            </w:r>
          </w:p>
        </w:tc>
      </w:tr>
    </w:tbl>
    <w:p>
      <w:pPr>
        <w:pStyle w:val="Heading1"/>
      </w:pPr>
      <w:r>
        <w:t>Included templates</w:t>
      </w:r>
    </w:p>
    <w:p>
      <w:pPr>
        <w:pStyle w:val="ListBullet"/>
        <w:spacing w:after="80" w:line="300" w:lineRule="auto"/>
        <w:ind w:left="540" w:hanging="271"/>
      </w:pPr>
      <w:r>
        <w:t>Executive meeting cadence</w:t>
      </w:r>
    </w:p>
    <w:p>
      <w:pPr>
        <w:pStyle w:val="ListBullet"/>
        <w:spacing w:after="80" w:line="300" w:lineRule="auto"/>
        <w:ind w:left="540" w:hanging="271"/>
      </w:pPr>
      <w:r>
        <w:t>Board pack framework</w:t>
      </w:r>
    </w:p>
    <w:p>
      <w:pPr>
        <w:pStyle w:val="ListBullet"/>
        <w:spacing w:after="80" w:line="300" w:lineRule="auto"/>
        <w:ind w:left="540" w:hanging="271"/>
      </w:pPr>
      <w:r>
        <w:t>Committee terms of reference</w:t>
      </w:r>
    </w:p>
    <w:p>
      <w:pPr>
        <w:pStyle w:val="ListBullet"/>
        <w:spacing w:after="80" w:line="300" w:lineRule="auto"/>
        <w:ind w:left="540" w:hanging="271"/>
      </w:pPr>
      <w:r>
        <w:t>Strategy-on-a-page</w:t>
      </w:r>
    </w:p>
    <w:p>
      <w:pPr>
        <w:pStyle w:val="ListBullet"/>
        <w:spacing w:after="80" w:line="300" w:lineRule="auto"/>
        <w:ind w:left="540" w:hanging="271"/>
      </w:pPr>
      <w:r>
        <w:t>Monthly management pack</w:t>
      </w:r>
    </w:p>
    <w:p>
      <w:pPr>
        <w:pStyle w:val="ListBullet"/>
        <w:spacing w:after="80" w:line="300" w:lineRule="auto"/>
        <w:ind w:left="540" w:hanging="271"/>
      </w:pPr>
      <w:r>
        <w:t>Performance review agenda</w:t>
      </w:r>
    </w:p>
    <w:p>
      <w:pPr>
        <w:pStyle w:val="ListBullet"/>
        <w:spacing w:after="80" w:line="300" w:lineRule="auto"/>
        <w:ind w:left="540" w:hanging="271"/>
      </w:pPr>
      <w:r>
        <w:t>Healthcare policy template</w:t>
      </w:r>
    </w:p>
    <w:p>
      <w:pPr>
        <w:pStyle w:val="ListBullet"/>
        <w:spacing w:after="80" w:line="300" w:lineRule="auto"/>
        <w:ind w:left="540" w:hanging="271"/>
      </w:pPr>
      <w:r>
        <w:t>Incident escalation playbook</w:t>
      </w:r>
    </w:p>
    <w:p>
      <w:pPr>
        <w:pStyle w:val="ListBullet"/>
        <w:spacing w:after="80" w:line="300" w:lineRule="auto"/>
        <w:ind w:left="540" w:hanging="271"/>
      </w:pPr>
      <w:r>
        <w:t>Due diligence checklist</w:t>
      </w:r>
    </w:p>
    <w:p>
      <w:pPr>
        <w:pStyle w:val="ListBullet"/>
        <w:spacing w:after="80" w:line="300" w:lineRule="auto"/>
        <w:ind w:left="540" w:hanging="271"/>
      </w:pPr>
      <w:r>
        <w:t>Executive 90-day plan</w:t>
      </w:r>
    </w:p>
    <w:p>
      <w:r>
        <w:br w:type="page"/>
      </w:r>
    </w:p>
    <w:p>
      <w:pPr>
        <w:pStyle w:val="Heading1"/>
      </w:pPr>
      <w:r>
        <w:t>1. Executive Meeting Cadence</w:t>
      </w:r>
    </w:p>
    <w:p>
      <w:r>
        <w:rPr>
          <w:b/>
        </w:rPr>
        <w:t xml:space="preserve">Purpose: </w:t>
      </w:r>
      <w:r>
        <w:t>Create clear separation between daily control, weekly coordination, monthly performance and quarterly strategic review.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65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Forum</w:t>
            </w:r>
          </w:p>
        </w:tc>
        <w:tc>
          <w:tcPr>
            <w:tcW w:type="dxa" w:w="223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Purpose</w:t>
            </w:r>
          </w:p>
        </w:tc>
        <w:tc>
          <w:tcPr>
            <w:tcW w:type="dxa" w:w="172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Participants</w:t>
            </w:r>
          </w:p>
        </w:tc>
        <w:tc>
          <w:tcPr>
            <w:tcW w:type="dxa" w:w="216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Typical decisions</w:t>
            </w:r>
          </w:p>
        </w:tc>
        <w:tc>
          <w:tcPr>
            <w:tcW w:type="dxa" w:w="158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Output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Daily operations huddle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Manage immediate safety, flow, capacity and workforce exceptions.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COO, site and clinical operations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Escalation, resource movement, recovery action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Exception log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Weekly executive coordination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Resolve cross-functional dependencies and delivery risks.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CEO and executive team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Priority trade-offs, programme intervention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Decision and action log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Monthly performance review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Review strategy, quality, operations, workforce, finance and risk.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Executive team and service leaders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Corrective action, forecast change, escalation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Management pack</w:t>
            </w:r>
          </w:p>
        </w:tc>
      </w:tr>
      <w:tr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Quarterly strategy review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Assess strategic progress, external change and investment priorities.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Board and executive team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Strategy adjustment and capital priorities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Strategic decision record</w:t>
            </w:r>
          </w:p>
        </w:tc>
      </w:tr>
    </w:tbl>
    <w:p/>
    <w:p>
      <w:pPr>
        <w:pStyle w:val="Heading2"/>
      </w:pPr>
      <w:r>
        <w:t>Design rules</w:t>
      </w:r>
    </w:p>
    <w:p>
      <w:pPr>
        <w:pStyle w:val="ListBullet"/>
        <w:spacing w:after="80" w:line="300" w:lineRule="auto"/>
        <w:ind w:left="540" w:hanging="271"/>
      </w:pPr>
      <w:r>
        <w:t>Every forum has a defined purpose and decision boundary.</w:t>
      </w:r>
    </w:p>
    <w:p>
      <w:pPr>
        <w:pStyle w:val="ListBullet"/>
        <w:spacing w:after="80" w:line="300" w:lineRule="auto"/>
        <w:ind w:left="540" w:hanging="271"/>
      </w:pPr>
      <w:r>
        <w:t>Information is distributed before the meeting; meeting time is used for exceptions and decisions.</w:t>
      </w:r>
    </w:p>
    <w:p>
      <w:pPr>
        <w:pStyle w:val="ListBullet"/>
        <w:spacing w:after="80" w:line="300" w:lineRule="auto"/>
        <w:ind w:left="540" w:hanging="271"/>
      </w:pPr>
      <w:r>
        <w:t>Every action has one owner, date and closure evidence.</w:t>
      </w:r>
    </w:p>
    <w:p>
      <w:pPr>
        <w:pStyle w:val="ListBullet"/>
        <w:spacing w:after="80" w:line="300" w:lineRule="auto"/>
        <w:ind w:left="540" w:hanging="271"/>
      </w:pPr>
      <w:r>
        <w:t>Recurring agenda items are removed if they do not influence decisions.</w:t>
      </w:r>
    </w:p>
    <w:p>
      <w:r>
        <w:br w:type="page"/>
      </w:r>
    </w:p>
    <w:p>
      <w:pPr>
        <w:pStyle w:val="Heading1"/>
      </w:pPr>
      <w:r>
        <w:t>2. Healthcare Board Pack Framework</w:t>
      </w:r>
    </w:p>
    <w:p>
      <w:r>
        <w:rPr>
          <w:b/>
        </w:rPr>
        <w:t xml:space="preserve">Purpose: </w:t>
      </w:r>
      <w:r>
        <w:t>Provide directors with concise, balanced and decision-ready information.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type="dxa" w:w="187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Section</w:t>
            </w:r>
          </w:p>
        </w:tc>
        <w:tc>
          <w:tcPr>
            <w:tcW w:type="dxa" w:w="388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Core content</w:t>
            </w:r>
          </w:p>
        </w:tc>
        <w:tc>
          <w:tcPr>
            <w:tcW w:type="dxa" w:w="360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Questions for management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Executive overview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Material changes, decisions required, outlook and confidence.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What changed, why, and what decision is needed?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Strategy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Priority outcomes, milestones, dependencies and benefits.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Are strategic commitments on track and still valid?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Quality and patient safety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Outcomes, serious events, trends, action effectiveness.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Where is patient risk outside tolerance?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Operations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Demand, capacity, access, flow, productivity and service recovery.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Which constraint requires executive intervention?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Workforce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Capacity, vacancies, turnover, wellbeing, capability and compliance.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Is workforce risk limiting safe delivery?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Finance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Revenue, margin, cash, forecast, capital and covenant position.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What has changed in the forecast and cash outlook?</w:t>
            </w:r>
          </w:p>
        </w:tc>
      </w:tr>
      <w:t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Risk and compliance</w:t>
            </w:r>
          </w:p>
        </w:tc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Top risks, regulatory matters, assurance and overdue actions.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Which exposure requires board action or assurance?</w:t>
            </w:r>
          </w:p>
        </w:tc>
      </w:tr>
    </w:tbl>
    <w:p/>
    <w:p>
      <w:r>
        <w:br w:type="page"/>
      </w:r>
    </w:p>
    <w:p>
      <w:pPr>
        <w:pStyle w:val="Heading1"/>
      </w:pPr>
      <w:r>
        <w:t>3. Committee Terms of Reference</w:t>
      </w:r>
    </w:p>
    <w:p>
      <w:r>
        <w:rPr>
          <w:b/>
        </w:rPr>
        <w:t xml:space="preserve">Purpose: </w:t>
      </w:r>
      <w:r>
        <w:t>Define a committee’s authority, accountability and operating arrangements.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type="dxa" w:w="230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type="dxa" w:w="705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Complete for each committee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Name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[Committee name]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Purpose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[Why the committee exists and the outcomes it safeguards]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Authority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[Decisions it may make and matters reserved elsewhere]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Responsibilities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[Five to eight specific duties]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Membership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[Chair, voting members, attendees and secretariat]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Quorum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[Minimum attendance and required roles]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Frequency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[Meeting cadence and extraordinary meeting rules]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Information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[Standing reports, sources and distribution timing]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Escalation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[Matters, thresholds and destination for escalation]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Records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[Minutes, decisions, actions and retention]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Effectiveness review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[Annual review method and owner]</w:t>
            </w:r>
          </w:p>
        </w:tc>
      </w:tr>
      <w:tr>
        <w:tc>
          <w:tcPr>
            <w:tcW w:type="dxa" w:w="230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Approval</w:t>
            </w:r>
          </w:p>
        </w:tc>
        <w:tc>
          <w:tcPr>
            <w:tcW w:type="dxa" w:w="70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[Approving authority, date, version and next review]</w:t>
            </w:r>
          </w:p>
        </w:tc>
      </w:tr>
    </w:tbl>
    <w:p/>
    <w:p>
      <w:r>
        <w:br w:type="page"/>
      </w:r>
    </w:p>
    <w:p>
      <w:pPr>
        <w:pStyle w:val="Heading1"/>
      </w:pPr>
      <w:r>
        <w:t>4. Healthcare Strategy-on-a-Page</w:t>
      </w:r>
    </w:p>
    <w:p>
      <w:r>
        <w:rPr>
          <w:b/>
        </w:rPr>
        <w:t xml:space="preserve">Purpose: </w:t>
      </w:r>
      <w:r>
        <w:t>Translate organisational direction into a concise, shared management 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type="dxa" w:w="244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Element</w:t>
            </w:r>
          </w:p>
        </w:tc>
        <w:tc>
          <w:tcPr>
            <w:tcW w:type="dxa" w:w="691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Executive content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Purpose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The patient and organisational need the strategy serves.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Three-year ambition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 measurable description of the intended future position.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Strategic priorities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Three to five outcomes, not a list of projects.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Critical capabilities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People, processes, technology and partnerships required.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Measures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Two to four outcome indicators per priority.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Accountability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One executive owner for each strategic outcome.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Major initiatives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Only initiatives directly required to deliver the priorities.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Risks and assumptions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Conditions that could materially change the strategy.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Review cadence</w:t>
            </w:r>
          </w:p>
        </w:tc>
        <w:tc>
          <w:tcPr>
            <w:tcW w:type="dxa" w:w="69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Monthly performance and quarterly strategic review.</w:t>
            </w:r>
          </w:p>
        </w:tc>
      </w:tr>
    </w:tbl>
    <w:p/>
    <w:p>
      <w:r>
        <w:br w:type="page"/>
      </w:r>
    </w:p>
    <w:p>
      <w:pPr>
        <w:pStyle w:val="Heading1"/>
      </w:pPr>
      <w:r>
        <w:t>5. Healthcare Monthly Management Pack</w:t>
      </w:r>
    </w:p>
    <w:p>
      <w:r>
        <w:rPr>
          <w:b/>
        </w:rPr>
        <w:t xml:space="preserve">Purpose: </w:t>
      </w:r>
      <w:r>
        <w:t>Create one integrated performance narrative for executive decision-making.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type="dxa" w:w="93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Page</w:t>
            </w:r>
          </w:p>
        </w:tc>
        <w:tc>
          <w:tcPr>
            <w:tcW w:type="dxa" w:w="324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Content</w:t>
            </w:r>
          </w:p>
        </w:tc>
        <w:tc>
          <w:tcPr>
            <w:tcW w:type="dxa" w:w="518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Required commentary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1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Executive summary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What changed; causes; outlook; decisions required.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2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Strategy and priorities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Milestones, benefits, dependencies and recovery confidence.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3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Patient safety and quality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Outcomes, serious events, control reliability and action effectiveness.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4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Operations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Demand, access, flow, capacity, productivity and exceptions.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5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Patient experience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Themes, trends, recovery and improvement priorities.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6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Workforce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Capacity, vacancies, turnover, wellbeing and compliance.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7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Finance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Revenue, cost, margin, cash, forecast and capital.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8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Risk and compliance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Top exposure, incidents, regulatory actions and assurance.</w:t>
            </w:r>
          </w:p>
        </w:tc>
      </w:tr>
      <w:t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9</w:t>
            </w:r>
          </w:p>
        </w:tc>
        <w:tc>
          <w:tcPr>
            <w:tcW w:type="dxa" w:w="32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Decisions and actions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Decision owner, deadline, expected outcome and closure evidence.</w:t>
            </w:r>
          </w:p>
        </w:tc>
      </w:tr>
    </w:tbl>
    <w:p/>
    <w:p>
      <w:r>
        <w:br w:type="page"/>
      </w:r>
    </w:p>
    <w:p>
      <w:pPr>
        <w:pStyle w:val="Heading1"/>
      </w:pPr>
      <w:r>
        <w:t>6. Performance Review Agenda</w:t>
      </w:r>
    </w:p>
    <w:p>
      <w:r>
        <w:rPr>
          <w:b/>
        </w:rPr>
        <w:t xml:space="preserve">Purpose: </w:t>
      </w:r>
      <w:r>
        <w:t>Keep performance reviews focused on causes, action and decisions.</w:t>
      </w:r>
    </w:p>
    <w:p>
      <w:pPr>
        <w:pStyle w:val="ListBullet"/>
        <w:spacing w:after="80" w:line="300" w:lineRule="auto"/>
        <w:ind w:left="540" w:hanging="271"/>
      </w:pPr>
      <w:r>
        <w:t>Confirm material changes since the previous review.</w:t>
      </w:r>
    </w:p>
    <w:p>
      <w:pPr>
        <w:pStyle w:val="ListBullet"/>
        <w:spacing w:after="80" w:line="300" w:lineRule="auto"/>
        <w:ind w:left="540" w:hanging="271"/>
      </w:pPr>
      <w:r>
        <w:t>Review patient safety and quality exceptions first.</w:t>
      </w:r>
    </w:p>
    <w:p>
      <w:pPr>
        <w:pStyle w:val="ListBullet"/>
        <w:spacing w:after="80" w:line="300" w:lineRule="auto"/>
        <w:ind w:left="540" w:hanging="271"/>
      </w:pPr>
      <w:r>
        <w:t>Assess demand, capacity, access and workforce constraints.</w:t>
      </w:r>
    </w:p>
    <w:p>
      <w:pPr>
        <w:pStyle w:val="ListBullet"/>
        <w:spacing w:after="80" w:line="300" w:lineRule="auto"/>
        <w:ind w:left="540" w:hanging="271"/>
      </w:pPr>
      <w:r>
        <w:t>Review financial performance, cash and forecast changes.</w:t>
      </w:r>
    </w:p>
    <w:p>
      <w:pPr>
        <w:pStyle w:val="ListBullet"/>
        <w:spacing w:after="80" w:line="300" w:lineRule="auto"/>
        <w:ind w:left="540" w:hanging="271"/>
      </w:pPr>
      <w:r>
        <w:t>Challenge root cause and evidence, not only reported variance.</w:t>
      </w:r>
    </w:p>
    <w:p>
      <w:pPr>
        <w:pStyle w:val="ListBullet"/>
        <w:spacing w:after="80" w:line="300" w:lineRule="auto"/>
        <w:ind w:left="540" w:hanging="271"/>
      </w:pPr>
      <w:r>
        <w:t>Confirm corrective action, owner, deadline and recovery expectation.</w:t>
      </w:r>
    </w:p>
    <w:p>
      <w:pPr>
        <w:pStyle w:val="ListBullet"/>
        <w:spacing w:after="80" w:line="300" w:lineRule="auto"/>
        <w:ind w:left="540" w:hanging="271"/>
      </w:pPr>
      <w:r>
        <w:t>Escalate unresolved cross-functional or risk decisions.</w:t>
      </w:r>
    </w:p>
    <w:p>
      <w:pPr>
        <w:pStyle w:val="ListBullet"/>
        <w:spacing w:after="80" w:line="300" w:lineRule="auto"/>
        <w:ind w:left="540" w:hanging="271"/>
      </w:pPr>
      <w:r>
        <w:t>Close actions only when effectiveness evidence is available.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95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Decision / action</w:t>
            </w:r>
          </w:p>
        </w:tc>
        <w:tc>
          <w:tcPr>
            <w:tcW w:type="dxa" w:w="158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44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Due date</w:t>
            </w:r>
          </w:p>
        </w:tc>
        <w:tc>
          <w:tcPr>
            <w:tcW w:type="dxa" w:w="194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Success measure</w:t>
            </w:r>
          </w:p>
        </w:tc>
        <w:tc>
          <w:tcPr>
            <w:tcW w:type="dxa" w:w="144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Status / evidence</w:t>
            </w:r>
          </w:p>
        </w:tc>
      </w:tr>
      <w:tr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7. Healthcare Policy Template</w:t>
      </w:r>
    </w:p>
    <w:p>
      <w:r>
        <w:rPr>
          <w:b/>
        </w:rPr>
        <w:t xml:space="preserve">Purpose: </w:t>
      </w:r>
      <w:r>
        <w:t>Create controlled policies that are clear, usable and accountable.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680"/>
        <w:gridCol w:w="4680"/>
      </w:tblGrid>
      <w:tr>
        <w:tc>
          <w:tcPr>
            <w:tcW w:type="dxa" w:w="237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Policy field</w:t>
            </w:r>
          </w:p>
        </w:tc>
        <w:tc>
          <w:tcPr>
            <w:tcW w:type="dxa" w:w="698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Required content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Title and identifier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Unique policy name and controlled reference.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Purpose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Outcome, obligation or risk the policy addresses.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Scope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Entities, services, locations, workforce and exclusions.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Definitions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Terms requiring consistent interpretation.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Policy requirements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Clear mandatory rules and decision standards.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Roles and responsibilities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Accountable owner and operating responsibilities.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Procedure links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SOPs, forms, systems and supporting guidance.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Monitoring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Controls, KPIs, assurance and exception reporting.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Non-compliance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Escalation, investigation and corrective action.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References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Applicable laws, regulations and standards.</w:t>
            </w:r>
          </w:p>
        </w:tc>
      </w:tr>
      <w:tr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Document control</w:t>
            </w:r>
          </w:p>
        </w:tc>
        <w:tc>
          <w:tcPr>
            <w:tcW w:type="dxa" w:w="69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Approver, version, effective date and next review.</w:t>
            </w:r>
          </w:p>
        </w:tc>
      </w:tr>
    </w:tbl>
    <w:p/>
    <w:p>
      <w:r>
        <w:br w:type="page"/>
      </w:r>
    </w:p>
    <w:p>
      <w:pPr>
        <w:pStyle w:val="Heading1"/>
      </w:pPr>
      <w:r>
        <w:t>8. Incident Escalation Playbook</w:t>
      </w:r>
    </w:p>
    <w:p>
      <w:r>
        <w:rPr>
          <w:b/>
        </w:rPr>
        <w:t xml:space="preserve">Purpose: </w:t>
      </w:r>
      <w:r>
        <w:t>Coordinate rapid, proportionate response to serious clinical and operational events.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340"/>
        <w:gridCol w:w="2340"/>
        <w:gridCol w:w="2340"/>
        <w:gridCol w:w="2340"/>
      </w:tblGrid>
      <w:tr>
        <w:tc>
          <w:tcPr>
            <w:tcW w:type="dxa" w:w="158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Severity</w:t>
            </w:r>
          </w:p>
        </w:tc>
        <w:tc>
          <w:tcPr>
            <w:tcW w:type="dxa" w:w="345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Example impact</w:t>
            </w:r>
          </w:p>
        </w:tc>
        <w:tc>
          <w:tcPr>
            <w:tcW w:type="dxa" w:w="223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Notification</w:t>
            </w:r>
          </w:p>
        </w:tc>
        <w:tc>
          <w:tcPr>
            <w:tcW w:type="dxa" w:w="208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Command and review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Level 1 — Local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Contained disruption or low harm within one service.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Line manager and relevant functional lead.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Local action and trend review.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Level 2 — Significant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Material service disruption, potential harm or reportable concern.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Site leadership, quality/risk and executive owner.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Named incident lead; documented situation reports.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Level 3 — Major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Serious harm, prolonged critical disruption or material regulatory/reputational exposure.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CEO, executive team, regulator/insurer as applicable.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Executive incident command; controlled communication and recovery.</w:t>
            </w:r>
          </w:p>
        </w:tc>
      </w:tr>
      <w:tr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Level 4 — Crisis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Enterprise-wide threat, multiple serious impacts or loss of command capability.</w:t>
            </w:r>
          </w:p>
        </w:tc>
        <w:tc>
          <w:tcPr>
            <w:tcW w:type="dxa" w:w="223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Board leadership and external authorities as applicable.</w:t>
            </w:r>
          </w:p>
        </w:tc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Crisis governance, continuity activation and strategic communication.</w:t>
            </w:r>
          </w:p>
        </w:tc>
      </w:tr>
    </w:tbl>
    <w:p/>
    <w:p>
      <w:pPr>
        <w:pStyle w:val="Heading2"/>
      </w:pPr>
      <w:r>
        <w:t>First-hour checklist</w:t>
      </w:r>
    </w:p>
    <w:p>
      <w:pPr>
        <w:pStyle w:val="ListBullet"/>
        <w:spacing w:after="80" w:line="300" w:lineRule="auto"/>
        <w:ind w:left="540" w:hanging="271"/>
      </w:pPr>
      <w:r>
        <w:t>Protect patients, workforce and critical services.</w:t>
      </w:r>
    </w:p>
    <w:p>
      <w:pPr>
        <w:pStyle w:val="ListBullet"/>
        <w:spacing w:after="80" w:line="300" w:lineRule="auto"/>
        <w:ind w:left="540" w:hanging="271"/>
      </w:pPr>
      <w:r>
        <w:t>Confirm incident lead, severity and command location.</w:t>
      </w:r>
    </w:p>
    <w:p>
      <w:pPr>
        <w:pStyle w:val="ListBullet"/>
        <w:spacing w:after="80" w:line="300" w:lineRule="auto"/>
        <w:ind w:left="540" w:hanging="271"/>
      </w:pPr>
      <w:r>
        <w:t>Record verified facts, assumptions, decisions and time stamps.</w:t>
      </w:r>
    </w:p>
    <w:p>
      <w:pPr>
        <w:pStyle w:val="ListBullet"/>
        <w:spacing w:after="80" w:line="300" w:lineRule="auto"/>
        <w:ind w:left="540" w:hanging="271"/>
      </w:pPr>
      <w:r>
        <w:t>Identify regulatory, insurer, patient and workforce notification duties.</w:t>
      </w:r>
    </w:p>
    <w:p>
      <w:pPr>
        <w:pStyle w:val="ListBullet"/>
        <w:spacing w:after="80" w:line="300" w:lineRule="auto"/>
        <w:ind w:left="540" w:hanging="271"/>
      </w:pPr>
      <w:r>
        <w:t>Control internal and external communication.</w:t>
      </w:r>
    </w:p>
    <w:p>
      <w:pPr>
        <w:pStyle w:val="ListBullet"/>
        <w:spacing w:after="80" w:line="300" w:lineRule="auto"/>
        <w:ind w:left="540" w:hanging="271"/>
      </w:pPr>
      <w:r>
        <w:t>Set the next update time and required recovery decisions.</w:t>
      </w:r>
    </w:p>
    <w:p>
      <w:r>
        <w:br w:type="page"/>
      </w:r>
    </w:p>
    <w:p>
      <w:pPr>
        <w:pStyle w:val="Heading1"/>
      </w:pPr>
      <w:r>
        <w:t>9. Healthcare Due Diligence Checklist</w:t>
      </w:r>
    </w:p>
    <w:p>
      <w:r>
        <w:rPr>
          <w:b/>
        </w:rPr>
        <w:t xml:space="preserve">Purpose: </w:t>
      </w:r>
      <w:r>
        <w:t>Organise evidence before investment, partnership or material contracting decisions.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type="dxa" w:w="172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Domain</w:t>
            </w:r>
          </w:p>
        </w:tc>
        <w:tc>
          <w:tcPr>
            <w:tcW w:type="dxa" w:w="3960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Priority evidence</w:t>
            </w:r>
          </w:p>
        </w:tc>
        <w:tc>
          <w:tcPr>
            <w:tcW w:type="dxa" w:w="367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Key question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Corporate and governance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Licences, ownership, delegations, board records and disputes.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Does the organisation have clear authority and accountable governance?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Clinical and quality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Outcomes, incidents, audits, credentials and accreditation.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Is reported quality supported by source evidence?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Operations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Activity, capacity, access, flow, facilities and service dependencies.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Is current performance operationally sustainable?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Finance and tax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Statements, ledgers, forecasts, cash, debt, tax and controls.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Are earnings and cash generation reliable?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Workforce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Headcount, contracts, licences, vacancies, turnover and key-person dependency.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Can the workforce sustain the operating plan?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Technology and data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Systems, cyber, privacy, contracts, architecture and resilience.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What investment and risk sit behind the technology estate?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Commercial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Payer contracts, referral sources, pipeline, pricing and concentration.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Is demand durable and economically attractive?</w:t>
            </w:r>
          </w:p>
        </w:tc>
      </w:tr>
      <w:tr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Legal and regulatory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Claims, inspections, permits, compliance and material obligations.</w:t>
            </w:r>
          </w:p>
        </w:tc>
        <w:tc>
          <w:tcPr>
            <w:tcW w:type="dxa" w:w="367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What exposure could affect value or authority to operate?</w:t>
            </w:r>
          </w:p>
        </w:tc>
      </w:tr>
    </w:tbl>
    <w:p/>
    <w:p>
      <w:r>
        <w:br w:type="page"/>
      </w:r>
    </w:p>
    <w:p>
      <w:pPr>
        <w:pStyle w:val="Heading1"/>
      </w:pPr>
      <w:r>
        <w:t>10. Executive 90-Day Plan</w:t>
      </w:r>
    </w:p>
    <w:p>
      <w:r>
        <w:rPr>
          <w:b/>
        </w:rPr>
        <w:t xml:space="preserve">Purpose: </w:t>
      </w:r>
      <w:r>
        <w:t>Convert immediate leadership priorities into a focused, measurable programme.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120"/>
        <w:gridCol w:w="3120"/>
        <w:gridCol w:w="3120"/>
      </w:tblGrid>
      <w:tr>
        <w:tc>
          <w:tcPr>
            <w:tcW w:type="dxa" w:w="151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Period</w:t>
            </w:r>
          </w:p>
        </w:tc>
        <w:tc>
          <w:tcPr>
            <w:tcW w:type="dxa" w:w="345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Leadership objective</w:t>
            </w:r>
          </w:p>
        </w:tc>
        <w:tc>
          <w:tcPr>
            <w:tcW w:type="dxa" w:w="4392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Typical outputs</w:t>
            </w:r>
          </w:p>
        </w:tc>
      </w:tr>
      <w:tr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Days 1–30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Understand the organisation and stabilise material exposure.</w:t>
            </w:r>
          </w:p>
        </w:tc>
        <w:tc>
          <w:tcPr>
            <w:tcW w:type="dxa" w:w="43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Stakeholder map; baseline; priority risks; urgent decisions; communication rhythm.</w:t>
            </w:r>
          </w:p>
        </w:tc>
      </w:tr>
      <w:tr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Days 31–60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Align outcomes, ownership and operating priorities.</w:t>
            </w:r>
          </w:p>
        </w:tc>
        <w:tc>
          <w:tcPr>
            <w:tcW w:type="dxa" w:w="43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Outcome measures; governance cadence; first improvement wave; resource decisions.</w:t>
            </w:r>
          </w:p>
        </w:tc>
      </w:tr>
      <w:tr>
        <w:tc>
          <w:tcPr>
            <w:tcW w:type="dxa" w:w="151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Days 61–90</w:t>
            </w:r>
          </w:p>
        </w:tc>
        <w:tc>
          <w:tcPr>
            <w:tcW w:type="dxa" w:w="34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Demonstrate delivery and establish sustainable routines.</w:t>
            </w:r>
          </w:p>
        </w:tc>
        <w:tc>
          <w:tcPr>
            <w:tcW w:type="dxa" w:w="43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  <w:t>Verified early results; updated forecast; capability plan; 12-month roadmap.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2088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Priority outcome</w:t>
            </w:r>
          </w:p>
        </w:tc>
        <w:tc>
          <w:tcPr>
            <w:tcW w:type="dxa" w:w="194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Milestone</w:t>
            </w:r>
          </w:p>
        </w:tc>
        <w:tc>
          <w:tcPr>
            <w:tcW w:type="dxa" w:w="122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22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Due date</w:t>
            </w:r>
          </w:p>
        </w:tc>
        <w:tc>
          <w:tcPr>
            <w:tcW w:type="dxa" w:w="1656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Measure / target</w:t>
            </w:r>
          </w:p>
        </w:tc>
        <w:tc>
          <w:tcPr>
            <w:tcW w:type="dxa" w:w="1224"/>
            <w:shd w:fill="1572B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b/>
                <w:color w:val="FFFFFF"/>
                <w:sz w:val="18"/>
              </w:rPr>
              <w:t>Decision required</w:t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  <w:tr>
        <w:tc>
          <w:tcPr>
            <w:tcW w:type="dxa" w:w="2088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656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40"/>
            </w:pPr>
            <w:r>
              <w:rPr>
                <w:color w:val="16283A"/>
                <w:sz w:val="18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Using these templates responsibly</w:t>
      </w:r>
    </w:p>
    <w:p>
      <w:r>
        <w:t>Adapt each template to the organisation’s legal form, regulator, service model, maturity and risk. Keep one controlled current version, assign a named owner and review whether the template improves management decisions. Avoid collecting information that does not influence action.</w:t>
      </w:r>
    </w:p>
    <w:p>
      <w:r>
        <w:t>For implementation support, visit https://www.ozanixpartners.com or book a complimentary discovery call.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6E80"/>
        <w:sz w:val="16"/>
      </w:rPr>
      <w:t xml:space="preserve">OzaniX Partners · Dubai, UAE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1572B6"/>
        <w:sz w:val="16"/>
      </w:rPr>
      <w:t>OZANIX PARTNERS  |  HEALTHCARE EXECUTIVE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628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572B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572B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B1F3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OzaniX Healthcare Executive Templates Playbook</dc:title>
  <dc:subject>Healthcare governance and executive management templates</dc:subject>
  <dc:creator>OzaniX Partners</dc:creator>
  <cp:keywords>healthcare, GCC, governance, executive templates, management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